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Supplementary Methods and Evidence-Directness Matrix</w:t>
      </w:r>
    </w:p>
    <w:p>
      <w:pPr>
        <w:ind w:firstLine="0"/>
        <w:jc w:val="center"/>
      </w:pPr>
      <w:r>
        <w:t>Malnutrition in Pediatric Oncology Critical Care: Mechanisms, Assessment, and Nutrition Support | CP026270042</w:t>
      </w:r>
    </w:p>
    <w:p>
      <w:pPr>
        <w:keepNext/>
        <w:spacing w:before="200" w:after="100"/>
      </w:pPr>
      <w:r>
        <w:rPr>
          <w:rFonts w:ascii="Times New Roman" w:hAnsi="Times New Roman"/>
          <w:b/>
          <w:color w:val="1F4D6F"/>
          <w:sz w:val="26"/>
        </w:rPr>
        <w:t>Supplementary Methods S1. Reproducible PubMed/MEDLINE search</w:t>
      </w:r>
    </w:p>
    <w:p>
      <w:r>
        <w:t>Search date: August 11, 2026. Coverage: database inception through the search date. No date restriction was added other than the search-end date. The synthesis used English-language full text.</w:t>
      </w:r>
    </w:p>
    <w:p>
      <w:pPr>
        <w:ind w:firstLine="0"/>
      </w:pPr>
      <w:r>
        <w:rPr>
          <w:b/>
        </w:rPr>
        <w:t>Core query (188 records on the search date):</w:t>
        <w:br/>
      </w:r>
      <w:r>
        <w:t>(child* OR pediatric* OR paediatric*) AND (cancer OR oncology OR leukemia OR lymphoma OR tumor OR tumour) AND ("pediatric intensive care" OR "paediatric intensive care" OR PICU) AND (nutrition OR malnutrition OR enteral OR parenteral OR body composition OR muscle)</w:t>
      </w:r>
    </w:p>
    <w:p>
      <w:pPr>
        <w:keepNext/>
        <w:spacing w:before="200" w:after="100"/>
      </w:pPr>
      <w:r>
        <w:rPr>
          <w:rFonts w:ascii="Times New Roman" w:hAnsi="Times New Roman"/>
          <w:b/>
          <w:color w:val="1F4D6F"/>
          <w:sz w:val="26"/>
        </w:rPr>
        <w:t>Targeted supplementary concepts</w:t>
      </w:r>
    </w:p>
    <w:p>
      <w:pPr>
        <w:pStyle w:val="ListBullet"/>
      </w:pPr>
      <w:r>
        <w:t>Pediatric oncology nutrition: nutrition, malnutrition, cachexia, sarcopenia, micronutrient, enteral, parenteral.</w:t>
      </w:r>
    </w:p>
    <w:p>
      <w:pPr>
        <w:pStyle w:val="ListBullet"/>
      </w:pPr>
      <w:r>
        <w:t>General PICU assessment/support: indirect calorimetry, phase angle, muscle ultrasound, CRP-to-albumin ratio, enteral nutrition, parenteral nutrition.</w:t>
      </w:r>
    </w:p>
    <w:p>
      <w:pPr>
        <w:pStyle w:val="ListBullet"/>
      </w:pPr>
      <w:r>
        <w:t>Special scenarios: mucositis, graft-versus-host disease, tumor lysis syndrome, sepsis, septic shock, ECMO, and CRRT, combined with nutrition, feeding, micronutrient, or protein terms.</w:t>
      </w:r>
    </w:p>
    <w:p>
      <w:pPr>
        <w:pStyle w:val="ListBullet"/>
      </w:pPr>
      <w:r>
        <w:t>Reference-list screening of relevant guidelines, systematic reviews, and position papers.</w:t>
      </w:r>
    </w:p>
    <w:p>
      <w:pPr>
        <w:keepNext/>
        <w:spacing w:before="200" w:after="100"/>
      </w:pPr>
      <w:r>
        <w:rPr>
          <w:rFonts w:ascii="Times New Roman" w:hAnsi="Times New Roman"/>
          <w:b/>
          <w:color w:val="1F4D6F"/>
          <w:sz w:val="26"/>
        </w:rPr>
        <w:t>Selection and synthesis limitations</w:t>
      </w:r>
    </w:p>
    <w:p>
      <w:r>
        <w:t>Selection was purposive and iterative for a narrative review. Duplicate screening, preregistration, formal risk-of-bias assessment, PRISMA flow reporting, formal GRADE, and quantitative pooling were not performed. The broad targeted queries were used to identify domain-specific evidence; their record counts should not be interpreted as a systematic-review screening flow.</w:t>
      </w:r>
    </w:p>
    <w:p>
      <w:pPr>
        <w:keepNext/>
        <w:spacing w:before="200" w:after="100"/>
      </w:pPr>
      <w:r>
        <w:rPr>
          <w:rFonts w:ascii="Times New Roman" w:hAnsi="Times New Roman"/>
          <w:b/>
          <w:color w:val="1F4D6F"/>
          <w:sz w:val="26"/>
        </w:rPr>
        <w:t>Supplementary Table S1. Evidence-directness framework</w:t>
      </w:r>
    </w:p>
    <w:tbl>
      <w:tblPr>
        <w:tblW w:type="auto" w:w="0"/>
        <w:jc w:val="center"/>
        <w:tblLayout w:type="fixed"/>
        <w:tblLook w:firstColumn="1" w:firstRow="1" w:lastColumn="0" w:lastRow="0" w:noHBand="0" w:noVBand="1" w:val="04A0"/>
      </w:tblPr>
      <w:tblGrid>
        <w:gridCol w:w="2376"/>
        <w:gridCol w:w="2376"/>
        <w:gridCol w:w="2376"/>
        <w:gridCol w:w="2376"/>
      </w:tblGrid>
      <w:tr>
        <w:tc>
          <w:tcPr>
            <w:tcW w:type="dxa" w:w="1007"/>
            <w:shd w:fill="1F4D6F"/>
            <w:vAlign w:val="top"/>
          </w:tcPr>
          <w:p>
            <w:pPr>
              <w:spacing w:line="240" w:lineRule="auto" w:after="0"/>
              <w:ind w:firstLine="0"/>
              <w:jc w:val="left"/>
            </w:pPr>
            <w:r>
              <w:rPr>
                <w:rFonts w:ascii="Times New Roman" w:hAnsi="Times New Roman"/>
                <w:b/>
                <w:i w:val="0"/>
                <w:color w:val="FFFFFF"/>
                <w:sz w:val="18"/>
              </w:rPr>
              <w:t>Tier</w:t>
            </w:r>
          </w:p>
        </w:tc>
        <w:tc>
          <w:tcPr>
            <w:tcW w:type="dxa" w:w="3024"/>
            <w:shd w:fill="1F4D6F"/>
            <w:vAlign w:val="top"/>
          </w:tcPr>
          <w:p>
            <w:pPr>
              <w:spacing w:line="240" w:lineRule="auto" w:after="0"/>
              <w:ind w:firstLine="0"/>
              <w:jc w:val="left"/>
            </w:pPr>
            <w:r>
              <w:rPr>
                <w:rFonts w:ascii="Times New Roman" w:hAnsi="Times New Roman"/>
                <w:b/>
                <w:i w:val="0"/>
                <w:color w:val="FFFFFF"/>
                <w:sz w:val="18"/>
              </w:rPr>
              <w:t>Population/source</w:t>
            </w:r>
          </w:p>
        </w:tc>
        <w:tc>
          <w:tcPr>
            <w:tcW w:type="dxa" w:w="3168"/>
            <w:shd w:fill="1F4D6F"/>
            <w:vAlign w:val="top"/>
          </w:tcPr>
          <w:p>
            <w:pPr>
              <w:spacing w:line="240" w:lineRule="auto" w:after="0"/>
              <w:ind w:firstLine="0"/>
              <w:jc w:val="left"/>
            </w:pPr>
            <w:r>
              <w:rPr>
                <w:rFonts w:ascii="Times New Roman" w:hAnsi="Times New Roman"/>
                <w:b/>
                <w:i w:val="0"/>
                <w:color w:val="FFFFFF"/>
                <w:sz w:val="18"/>
              </w:rPr>
              <w:t>How used</w:t>
            </w:r>
          </w:p>
        </w:tc>
        <w:tc>
          <w:tcPr>
            <w:tcW w:type="dxa" w:w="2736"/>
            <w:shd w:fill="1F4D6F"/>
            <w:vAlign w:val="top"/>
          </w:tcPr>
          <w:p>
            <w:pPr>
              <w:spacing w:line="240" w:lineRule="auto" w:after="0"/>
              <w:ind w:firstLine="0"/>
              <w:jc w:val="left"/>
            </w:pPr>
            <w:r>
              <w:rPr>
                <w:rFonts w:ascii="Times New Roman" w:hAnsi="Times New Roman"/>
                <w:b/>
                <w:i w:val="0"/>
                <w:color w:val="FFFFFF"/>
                <w:sz w:val="18"/>
              </w:rPr>
              <w:t>Primary limitation</w:t>
            </w:r>
          </w:p>
        </w:tc>
      </w:tr>
      <w:tr>
        <w:trPr>
          <w:cantSplit/>
        </w:trPr>
        <w:tc>
          <w:tcPr>
            <w:tcW w:type="dxa" w:w="1007"/>
            <w:vAlign w:val="top"/>
          </w:tcPr>
          <w:p>
            <w:pPr>
              <w:spacing w:line="240" w:lineRule="auto" w:after="0"/>
              <w:ind w:firstLine="0"/>
              <w:jc w:val="left"/>
            </w:pPr>
            <w:r>
              <w:rPr>
                <w:rFonts w:ascii="Times New Roman" w:hAnsi="Times New Roman"/>
                <w:b w:val="0"/>
                <w:i w:val="0"/>
                <w:sz w:val="17"/>
              </w:rPr>
              <w:t>1</w:t>
            </w:r>
          </w:p>
        </w:tc>
        <w:tc>
          <w:tcPr>
            <w:tcW w:type="dxa" w:w="3024"/>
            <w:vAlign w:val="top"/>
          </w:tcPr>
          <w:p>
            <w:pPr>
              <w:spacing w:line="240" w:lineRule="auto" w:after="0"/>
              <w:ind w:firstLine="0"/>
              <w:jc w:val="left"/>
            </w:pPr>
            <w:r>
              <w:rPr>
                <w:rFonts w:ascii="Times New Roman" w:hAnsi="Times New Roman"/>
                <w:b w:val="0"/>
                <w:i w:val="0"/>
                <w:sz w:val="17"/>
              </w:rPr>
              <w:t>Pediatric oncology PICU</w:t>
            </w:r>
          </w:p>
        </w:tc>
        <w:tc>
          <w:tcPr>
            <w:tcW w:type="dxa" w:w="3168"/>
            <w:vAlign w:val="top"/>
          </w:tcPr>
          <w:p>
            <w:pPr>
              <w:spacing w:line="240" w:lineRule="auto" w:after="0"/>
              <w:ind w:firstLine="0"/>
              <w:jc w:val="left"/>
            </w:pPr>
            <w:r>
              <w:rPr>
                <w:rFonts w:ascii="Times New Roman" w:hAnsi="Times New Roman"/>
                <w:b w:val="0"/>
                <w:i w:val="0"/>
                <w:sz w:val="17"/>
              </w:rPr>
              <w:t>Direct description of population, risk, or outcome</w:t>
            </w:r>
          </w:p>
        </w:tc>
        <w:tc>
          <w:tcPr>
            <w:tcW w:type="dxa" w:w="2736"/>
            <w:vAlign w:val="top"/>
          </w:tcPr>
          <w:p>
            <w:pPr>
              <w:spacing w:line="240" w:lineRule="auto" w:after="0"/>
              <w:ind w:firstLine="0"/>
              <w:jc w:val="left"/>
            </w:pPr>
            <w:r>
              <w:rPr>
                <w:rFonts w:ascii="Times New Roman" w:hAnsi="Times New Roman"/>
                <w:b w:val="0"/>
                <w:i w:val="0"/>
                <w:sz w:val="17"/>
              </w:rPr>
              <w:t>Predominantly observational; few nutrition interventions</w:t>
            </w:r>
          </w:p>
        </w:tc>
      </w:tr>
      <w:tr>
        <w:trPr>
          <w:cantSplit/>
        </w:trPr>
        <w:tc>
          <w:tcPr>
            <w:tcW w:type="dxa" w:w="1007"/>
            <w:shd w:fill="F6F8FA"/>
            <w:vAlign w:val="top"/>
          </w:tcPr>
          <w:p>
            <w:pPr>
              <w:spacing w:line="240" w:lineRule="auto" w:after="0"/>
              <w:ind w:firstLine="0"/>
              <w:jc w:val="left"/>
            </w:pPr>
            <w:r>
              <w:rPr>
                <w:rFonts w:ascii="Times New Roman" w:hAnsi="Times New Roman"/>
                <w:b w:val="0"/>
                <w:i w:val="0"/>
                <w:sz w:val="17"/>
              </w:rPr>
              <w:t>2</w:t>
            </w:r>
          </w:p>
        </w:tc>
        <w:tc>
          <w:tcPr>
            <w:tcW w:type="dxa" w:w="3024"/>
            <w:shd w:fill="F6F8FA"/>
            <w:vAlign w:val="top"/>
          </w:tcPr>
          <w:p>
            <w:pPr>
              <w:spacing w:line="240" w:lineRule="auto" w:after="0"/>
              <w:ind w:firstLine="0"/>
              <w:jc w:val="left"/>
            </w:pPr>
            <w:r>
              <w:rPr>
                <w:rFonts w:ascii="Times New Roman" w:hAnsi="Times New Roman"/>
                <w:b w:val="0"/>
                <w:i w:val="0"/>
                <w:sz w:val="17"/>
              </w:rPr>
              <w:t>General pediatric PICU</w:t>
            </w:r>
          </w:p>
        </w:tc>
        <w:tc>
          <w:tcPr>
            <w:tcW w:type="dxa" w:w="3168"/>
            <w:shd w:fill="F6F8FA"/>
            <w:vAlign w:val="top"/>
          </w:tcPr>
          <w:p>
            <w:pPr>
              <w:spacing w:line="240" w:lineRule="auto" w:after="0"/>
              <w:ind w:firstLine="0"/>
              <w:jc w:val="left"/>
            </w:pPr>
            <w:r>
              <w:rPr>
                <w:rFonts w:ascii="Times New Roman" w:hAnsi="Times New Roman"/>
                <w:b w:val="0"/>
                <w:i w:val="0"/>
                <w:sz w:val="17"/>
              </w:rPr>
              <w:t>Intervention and critical-care guidance, including PEPaNIC</w:t>
            </w:r>
          </w:p>
        </w:tc>
        <w:tc>
          <w:tcPr>
            <w:tcW w:type="dxa" w:w="2736"/>
            <w:shd w:fill="F6F8FA"/>
            <w:vAlign w:val="top"/>
          </w:tcPr>
          <w:p>
            <w:pPr>
              <w:spacing w:line="240" w:lineRule="auto" w:after="0"/>
              <w:ind w:firstLine="0"/>
              <w:jc w:val="left"/>
            </w:pPr>
            <w:r>
              <w:rPr>
                <w:rFonts w:ascii="Times New Roman" w:hAnsi="Times New Roman"/>
                <w:b w:val="0"/>
                <w:i w:val="0"/>
                <w:sz w:val="17"/>
              </w:rPr>
              <w:t>Oncology and HSCT subgroups not specifically validated</w:t>
            </w:r>
          </w:p>
        </w:tc>
      </w:tr>
      <w:tr>
        <w:trPr>
          <w:cantSplit/>
        </w:trPr>
        <w:tc>
          <w:tcPr>
            <w:tcW w:type="dxa" w:w="1007"/>
            <w:vAlign w:val="top"/>
          </w:tcPr>
          <w:p>
            <w:pPr>
              <w:spacing w:line="240" w:lineRule="auto" w:after="0"/>
              <w:ind w:firstLine="0"/>
              <w:jc w:val="left"/>
            </w:pPr>
            <w:r>
              <w:rPr>
                <w:rFonts w:ascii="Times New Roman" w:hAnsi="Times New Roman"/>
                <w:b w:val="0"/>
                <w:i w:val="0"/>
                <w:sz w:val="17"/>
              </w:rPr>
              <w:t>3</w:t>
            </w:r>
          </w:p>
        </w:tc>
        <w:tc>
          <w:tcPr>
            <w:tcW w:type="dxa" w:w="3024"/>
            <w:vAlign w:val="top"/>
          </w:tcPr>
          <w:p>
            <w:pPr>
              <w:spacing w:line="240" w:lineRule="auto" w:after="0"/>
              <w:ind w:firstLine="0"/>
              <w:jc w:val="left"/>
            </w:pPr>
            <w:r>
              <w:rPr>
                <w:rFonts w:ascii="Times New Roman" w:hAnsi="Times New Roman"/>
                <w:b w:val="0"/>
                <w:i w:val="0"/>
                <w:sz w:val="17"/>
              </w:rPr>
              <w:t>Non-critical pediatric oncology or HSCT</w:t>
            </w:r>
          </w:p>
        </w:tc>
        <w:tc>
          <w:tcPr>
            <w:tcW w:type="dxa" w:w="3168"/>
            <w:vAlign w:val="top"/>
          </w:tcPr>
          <w:p>
            <w:pPr>
              <w:spacing w:line="240" w:lineRule="auto" w:after="0"/>
              <w:ind w:firstLine="0"/>
              <w:jc w:val="left"/>
            </w:pPr>
            <w:r>
              <w:rPr>
                <w:rFonts w:ascii="Times New Roman" w:hAnsi="Times New Roman"/>
                <w:b w:val="0"/>
                <w:i w:val="0"/>
                <w:sz w:val="17"/>
              </w:rPr>
              <w:t>Diagnosis/treatment-related nutritional phenotype and special scenarios</w:t>
            </w:r>
          </w:p>
        </w:tc>
        <w:tc>
          <w:tcPr>
            <w:tcW w:type="dxa" w:w="2736"/>
            <w:vAlign w:val="top"/>
          </w:tcPr>
          <w:p>
            <w:pPr>
              <w:spacing w:line="240" w:lineRule="auto" w:after="0"/>
              <w:ind w:firstLine="0"/>
              <w:jc w:val="left"/>
            </w:pPr>
            <w:r>
              <w:rPr>
                <w:rFonts w:ascii="Times New Roman" w:hAnsi="Times New Roman"/>
                <w:b w:val="0"/>
                <w:i w:val="0"/>
                <w:sz w:val="17"/>
              </w:rPr>
              <w:t>Different physiology and organ-support exposure</w:t>
            </w:r>
          </w:p>
        </w:tc>
      </w:tr>
      <w:tr>
        <w:trPr>
          <w:cantSplit/>
        </w:trPr>
        <w:tc>
          <w:tcPr>
            <w:tcW w:type="dxa" w:w="1007"/>
            <w:shd w:fill="F6F8FA"/>
            <w:vAlign w:val="top"/>
          </w:tcPr>
          <w:p>
            <w:pPr>
              <w:spacing w:line="240" w:lineRule="auto" w:after="0"/>
              <w:ind w:firstLine="0"/>
              <w:jc w:val="left"/>
            </w:pPr>
            <w:r>
              <w:rPr>
                <w:rFonts w:ascii="Times New Roman" w:hAnsi="Times New Roman"/>
                <w:b w:val="0"/>
                <w:i w:val="0"/>
                <w:sz w:val="17"/>
              </w:rPr>
              <w:t>4</w:t>
            </w:r>
          </w:p>
        </w:tc>
        <w:tc>
          <w:tcPr>
            <w:tcW w:type="dxa" w:w="3024"/>
            <w:shd w:fill="F6F8FA"/>
            <w:vAlign w:val="top"/>
          </w:tcPr>
          <w:p>
            <w:pPr>
              <w:spacing w:line="240" w:lineRule="auto" w:after="0"/>
              <w:ind w:firstLine="0"/>
              <w:jc w:val="left"/>
            </w:pPr>
            <w:r>
              <w:rPr>
                <w:rFonts w:ascii="Times New Roman" w:hAnsi="Times New Roman"/>
                <w:b w:val="0"/>
                <w:i w:val="0"/>
                <w:sz w:val="17"/>
              </w:rPr>
              <w:t>Adult clinical</w:t>
            </w:r>
          </w:p>
        </w:tc>
        <w:tc>
          <w:tcPr>
            <w:tcW w:type="dxa" w:w="3168"/>
            <w:shd w:fill="F6F8FA"/>
            <w:vAlign w:val="top"/>
          </w:tcPr>
          <w:p>
            <w:pPr>
              <w:spacing w:line="240" w:lineRule="auto" w:after="0"/>
              <w:ind w:firstLine="0"/>
              <w:jc w:val="left"/>
            </w:pPr>
            <w:r>
              <w:rPr>
                <w:rFonts w:ascii="Times New Roman" w:hAnsi="Times New Roman"/>
                <w:b w:val="0"/>
                <w:i w:val="0"/>
                <w:sz w:val="17"/>
              </w:rPr>
              <w:t>Mechanistic or special-scenario context when pediatric evidence absent</w:t>
            </w:r>
          </w:p>
        </w:tc>
        <w:tc>
          <w:tcPr>
            <w:tcW w:type="dxa" w:w="2736"/>
            <w:shd w:fill="F6F8FA"/>
            <w:vAlign w:val="top"/>
          </w:tcPr>
          <w:p>
            <w:pPr>
              <w:spacing w:line="240" w:lineRule="auto" w:after="0"/>
              <w:ind w:firstLine="0"/>
              <w:jc w:val="left"/>
            </w:pPr>
            <w:r>
              <w:rPr>
                <w:rFonts w:ascii="Times New Roman" w:hAnsi="Times New Roman"/>
                <w:b w:val="0"/>
                <w:i w:val="0"/>
                <w:sz w:val="17"/>
              </w:rPr>
              <w:t>Age, growth, disease, and treatment differences</w:t>
            </w:r>
          </w:p>
        </w:tc>
      </w:tr>
      <w:tr>
        <w:trPr>
          <w:cantSplit/>
        </w:trPr>
        <w:tc>
          <w:tcPr>
            <w:tcW w:type="dxa" w:w="1007"/>
            <w:vAlign w:val="top"/>
          </w:tcPr>
          <w:p>
            <w:pPr>
              <w:spacing w:line="240" w:lineRule="auto" w:after="0"/>
              <w:ind w:firstLine="0"/>
              <w:jc w:val="left"/>
            </w:pPr>
            <w:r>
              <w:rPr>
                <w:rFonts w:ascii="Times New Roman" w:hAnsi="Times New Roman"/>
                <w:b w:val="0"/>
                <w:i w:val="0"/>
                <w:sz w:val="17"/>
              </w:rPr>
              <w:t>5</w:t>
            </w:r>
          </w:p>
        </w:tc>
        <w:tc>
          <w:tcPr>
            <w:tcW w:type="dxa" w:w="3024"/>
            <w:vAlign w:val="top"/>
          </w:tcPr>
          <w:p>
            <w:pPr>
              <w:spacing w:line="240" w:lineRule="auto" w:after="0"/>
              <w:ind w:firstLine="0"/>
              <w:jc w:val="left"/>
            </w:pPr>
            <w:r>
              <w:rPr>
                <w:rFonts w:ascii="Times New Roman" w:hAnsi="Times New Roman"/>
                <w:b w:val="0"/>
                <w:i w:val="0"/>
                <w:sz w:val="17"/>
              </w:rPr>
              <w:t>Preclinical/mechanistic</w:t>
            </w:r>
          </w:p>
        </w:tc>
        <w:tc>
          <w:tcPr>
            <w:tcW w:type="dxa" w:w="3168"/>
            <w:vAlign w:val="top"/>
          </w:tcPr>
          <w:p>
            <w:pPr>
              <w:spacing w:line="240" w:lineRule="auto" w:after="0"/>
              <w:ind w:firstLine="0"/>
              <w:jc w:val="left"/>
            </w:pPr>
            <w:r>
              <w:rPr>
                <w:rFonts w:ascii="Times New Roman" w:hAnsi="Times New Roman"/>
                <w:b w:val="0"/>
                <w:i w:val="0"/>
                <w:sz w:val="17"/>
              </w:rPr>
              <w:t>Biological plausibility and hypothesis generation</w:t>
            </w:r>
          </w:p>
        </w:tc>
        <w:tc>
          <w:tcPr>
            <w:tcW w:type="dxa" w:w="2736"/>
            <w:vAlign w:val="top"/>
          </w:tcPr>
          <w:p>
            <w:pPr>
              <w:spacing w:line="240" w:lineRule="auto" w:after="0"/>
              <w:ind w:firstLine="0"/>
              <w:jc w:val="left"/>
            </w:pPr>
            <w:r>
              <w:rPr>
                <w:rFonts w:ascii="Times New Roman" w:hAnsi="Times New Roman"/>
                <w:b w:val="0"/>
                <w:i w:val="0"/>
                <w:sz w:val="17"/>
              </w:rPr>
              <w:t>Cannot establish bedside effect or prescription</w:t>
            </w:r>
          </w:p>
        </w:tc>
      </w:tr>
    </w:tbl>
    <w:p>
      <w:pPr>
        <w:keepNext/>
        <w:spacing w:before="200" w:after="100"/>
      </w:pPr>
      <w:r>
        <w:rPr>
          <w:rFonts w:ascii="Times New Roman" w:hAnsi="Times New Roman"/>
          <w:b/>
          <w:color w:val="1F4D6F"/>
          <w:sz w:val="26"/>
        </w:rPr>
        <w:t>Supplementary Table S2. High-risk claim audit</w:t>
      </w:r>
    </w:p>
    <w:tbl>
      <w:tblPr>
        <w:tblW w:type="auto" w:w="0"/>
        <w:jc w:val="center"/>
        <w:tblLook w:firstColumn="1" w:firstRow="1" w:lastColumn="0" w:lastRow="0" w:noHBand="0" w:noVBand="1" w:val="04A0"/>
      </w:tblPr>
      <w:tblGrid>
        <w:gridCol w:w="2376"/>
        <w:gridCol w:w="2376"/>
        <w:gridCol w:w="2376"/>
        <w:gridCol w:w="2376"/>
      </w:tblGrid>
      <w:tr>
        <w:tc>
          <w:tcPr>
            <w:tcW w:type="dxa" w:w="1944"/>
            <w:shd w:fill="1F4D6F"/>
            <w:vAlign w:val="top"/>
          </w:tcPr>
          <w:p>
            <w:pPr>
              <w:spacing w:line="240" w:lineRule="auto" w:after="0"/>
              <w:ind w:firstLine="0"/>
              <w:jc w:val="left"/>
            </w:pPr>
            <w:r>
              <w:rPr>
                <w:rFonts w:ascii="Times New Roman" w:hAnsi="Times New Roman"/>
                <w:b/>
                <w:i w:val="0"/>
                <w:color w:val="FFFFFF"/>
                <w:sz w:val="17"/>
              </w:rPr>
              <w:t>Claim/domain</w:t>
            </w:r>
          </w:p>
        </w:tc>
        <w:tc>
          <w:tcPr>
            <w:tcW w:type="dxa" w:w="4536"/>
            <w:shd w:fill="1F4D6F"/>
            <w:vAlign w:val="top"/>
          </w:tcPr>
          <w:p>
            <w:pPr>
              <w:spacing w:line="240" w:lineRule="auto" w:after="0"/>
              <w:ind w:firstLine="0"/>
              <w:jc w:val="left"/>
            </w:pPr>
            <w:r>
              <w:rPr>
                <w:rFonts w:ascii="Times New Roman" w:hAnsi="Times New Roman"/>
                <w:b/>
                <w:i w:val="0"/>
                <w:color w:val="FFFFFF"/>
                <w:sz w:val="17"/>
              </w:rPr>
              <w:t>Final wording</w:t>
            </w:r>
          </w:p>
        </w:tc>
        <w:tc>
          <w:tcPr>
            <w:tcW w:type="dxa" w:w="1655"/>
            <w:shd w:fill="1F4D6F"/>
            <w:vAlign w:val="top"/>
          </w:tcPr>
          <w:p>
            <w:pPr>
              <w:spacing w:line="240" w:lineRule="auto" w:after="0"/>
              <w:ind w:firstLine="0"/>
              <w:jc w:val="left"/>
            </w:pPr>
            <w:r>
              <w:rPr>
                <w:rFonts w:ascii="Times New Roman" w:hAnsi="Times New Roman"/>
                <w:b/>
                <w:i w:val="0"/>
                <w:color w:val="FFFFFF"/>
                <w:sz w:val="17"/>
              </w:rPr>
              <w:t>Directness</w:t>
            </w:r>
          </w:p>
        </w:tc>
        <w:tc>
          <w:tcPr>
            <w:tcW w:type="dxa" w:w="1800"/>
            <w:shd w:fill="1F4D6F"/>
            <w:vAlign w:val="top"/>
          </w:tcPr>
          <w:p>
            <w:pPr>
              <w:spacing w:line="240" w:lineRule="auto" w:after="0"/>
              <w:ind w:firstLine="0"/>
              <w:jc w:val="left"/>
            </w:pPr>
            <w:r>
              <w:rPr>
                <w:rFonts w:ascii="Times New Roman" w:hAnsi="Times New Roman"/>
                <w:b/>
                <w:i w:val="0"/>
                <w:color w:val="FFFFFF"/>
                <w:sz w:val="17"/>
              </w:rPr>
              <w:t>Key source(s)</w:t>
            </w:r>
          </w:p>
        </w:tc>
      </w:tr>
      <w:tr>
        <w:trPr>
          <w:cantSplit/>
        </w:trPr>
        <w:tc>
          <w:tcPr>
            <w:tcW w:type="dxa" w:w="1944"/>
            <w:vAlign w:val="top"/>
          </w:tcPr>
          <w:p>
            <w:pPr>
              <w:spacing w:line="240" w:lineRule="auto" w:after="0"/>
              <w:ind w:firstLine="0"/>
              <w:jc w:val="left"/>
            </w:pPr>
            <w:r>
              <w:rPr>
                <w:rFonts w:ascii="Times New Roman" w:hAnsi="Times New Roman"/>
                <w:b w:val="0"/>
                <w:i w:val="0"/>
                <w:sz w:val="16"/>
              </w:rPr>
              <w:t>Early supplemental PN</w:t>
            </w:r>
          </w:p>
        </w:tc>
        <w:tc>
          <w:tcPr>
            <w:tcW w:type="dxa" w:w="4536"/>
            <w:vAlign w:val="top"/>
          </w:tcPr>
          <w:p>
            <w:pPr>
              <w:spacing w:line="240" w:lineRule="auto" w:after="0"/>
              <w:ind w:firstLine="0"/>
              <w:jc w:val="left"/>
            </w:pPr>
            <w:r>
              <w:rPr>
                <w:rFonts w:ascii="Times New Roman" w:hAnsi="Times New Roman"/>
                <w:b w:val="0"/>
                <w:i w:val="0"/>
                <w:sz w:val="16"/>
              </w:rPr>
              <w:t>Withhold routine supplemental PN through PICU day 7; reassess from day 8 if EN remains inadequate; oncology applicability untested.</w:t>
            </w:r>
          </w:p>
        </w:tc>
        <w:tc>
          <w:tcPr>
            <w:tcW w:type="dxa" w:w="1655"/>
            <w:vAlign w:val="top"/>
          </w:tcPr>
          <w:p>
            <w:pPr>
              <w:spacing w:line="240" w:lineRule="auto" w:after="0"/>
              <w:ind w:firstLine="0"/>
              <w:jc w:val="left"/>
            </w:pPr>
            <w:r>
              <w:rPr>
                <w:rFonts w:ascii="Times New Roman" w:hAnsi="Times New Roman"/>
                <w:b w:val="0"/>
                <w:i w:val="0"/>
                <w:sz w:val="16"/>
              </w:rPr>
              <w:t>Tier 2</w:t>
            </w:r>
          </w:p>
        </w:tc>
        <w:tc>
          <w:tcPr>
            <w:tcW w:type="dxa" w:w="1800"/>
            <w:vAlign w:val="top"/>
          </w:tcPr>
          <w:p>
            <w:pPr>
              <w:spacing w:line="240" w:lineRule="auto" w:after="0"/>
              <w:ind w:firstLine="0"/>
              <w:jc w:val="left"/>
            </w:pPr>
            <w:r>
              <w:rPr>
                <w:rFonts w:ascii="Times New Roman" w:hAnsi="Times New Roman"/>
                <w:b w:val="0"/>
                <w:i w:val="0"/>
                <w:sz w:val="16"/>
              </w:rPr>
              <w:t>PEPaNIC; ESPNIC</w:t>
            </w:r>
          </w:p>
        </w:tc>
      </w:tr>
      <w:tr>
        <w:trPr>
          <w:cantSplit/>
        </w:trPr>
        <w:tc>
          <w:tcPr>
            <w:tcW w:type="dxa" w:w="1944"/>
            <w:shd w:fill="F6F8FA"/>
            <w:vAlign w:val="top"/>
          </w:tcPr>
          <w:p>
            <w:pPr>
              <w:spacing w:line="240" w:lineRule="auto" w:after="0"/>
              <w:ind w:firstLine="0"/>
              <w:jc w:val="left"/>
            </w:pPr>
            <w:r>
              <w:rPr>
                <w:rFonts w:ascii="Times New Roman" w:hAnsi="Times New Roman"/>
                <w:b w:val="0"/>
                <w:i w:val="0"/>
                <w:sz w:val="16"/>
              </w:rPr>
              <w:t>Energy target</w:t>
            </w:r>
          </w:p>
        </w:tc>
        <w:tc>
          <w:tcPr>
            <w:tcW w:type="dxa" w:w="4536"/>
            <w:shd w:fill="F6F8FA"/>
            <w:vAlign w:val="top"/>
          </w:tcPr>
          <w:p>
            <w:pPr>
              <w:spacing w:line="240" w:lineRule="auto" w:after="0"/>
              <w:ind w:firstLine="0"/>
              <w:jc w:val="left"/>
            </w:pPr>
            <w:r>
              <w:rPr>
                <w:rFonts w:ascii="Times New Roman" w:hAnsi="Times New Roman"/>
                <w:b w:val="0"/>
                <w:i w:val="0"/>
                <w:sz w:val="16"/>
              </w:rPr>
              <w:t>Use indirect calorimetry when available; otherwise an age-appropriate equation without arbitrary stress factors.</w:t>
            </w:r>
          </w:p>
        </w:tc>
        <w:tc>
          <w:tcPr>
            <w:tcW w:type="dxa" w:w="1655"/>
            <w:shd w:fill="F6F8FA"/>
            <w:vAlign w:val="top"/>
          </w:tcPr>
          <w:p>
            <w:pPr>
              <w:spacing w:line="240" w:lineRule="auto" w:after="0"/>
              <w:ind w:firstLine="0"/>
              <w:jc w:val="left"/>
            </w:pPr>
            <w:r>
              <w:rPr>
                <w:rFonts w:ascii="Times New Roman" w:hAnsi="Times New Roman"/>
                <w:b w:val="0"/>
                <w:i w:val="0"/>
                <w:sz w:val="16"/>
              </w:rPr>
              <w:t>Tier 2</w:t>
            </w:r>
          </w:p>
        </w:tc>
        <w:tc>
          <w:tcPr>
            <w:tcW w:type="dxa" w:w="1800"/>
            <w:shd w:fill="F6F8FA"/>
            <w:vAlign w:val="top"/>
          </w:tcPr>
          <w:p>
            <w:pPr>
              <w:spacing w:line="240" w:lineRule="auto" w:after="0"/>
              <w:ind w:firstLine="0"/>
              <w:jc w:val="left"/>
            </w:pPr>
            <w:r>
              <w:rPr>
                <w:rFonts w:ascii="Times New Roman" w:hAnsi="Times New Roman"/>
                <w:b w:val="0"/>
                <w:i w:val="0"/>
                <w:sz w:val="16"/>
              </w:rPr>
              <w:t>SCCM/ASPEN; ESPNIC</w:t>
            </w:r>
          </w:p>
        </w:tc>
      </w:tr>
      <w:tr>
        <w:trPr>
          <w:cantSplit/>
        </w:trPr>
        <w:tc>
          <w:tcPr>
            <w:tcW w:type="dxa" w:w="1944"/>
            <w:vAlign w:val="top"/>
          </w:tcPr>
          <w:p>
            <w:pPr>
              <w:spacing w:line="240" w:lineRule="auto" w:after="0"/>
              <w:ind w:firstLine="0"/>
              <w:jc w:val="left"/>
            </w:pPr>
            <w:r>
              <w:rPr>
                <w:rFonts w:ascii="Times New Roman" w:hAnsi="Times New Roman"/>
                <w:b w:val="0"/>
                <w:i w:val="0"/>
                <w:sz w:val="16"/>
              </w:rPr>
              <w:t>Protein target</w:t>
            </w:r>
          </w:p>
        </w:tc>
        <w:tc>
          <w:tcPr>
            <w:tcW w:type="dxa" w:w="4536"/>
            <w:vAlign w:val="top"/>
          </w:tcPr>
          <w:p>
            <w:pPr>
              <w:spacing w:line="240" w:lineRule="auto" w:after="0"/>
              <w:ind w:firstLine="0"/>
              <w:jc w:val="left"/>
            </w:pPr>
            <w:r>
              <w:rPr>
                <w:rFonts w:ascii="Times New Roman" w:hAnsi="Times New Roman"/>
                <w:b w:val="0"/>
                <w:i w:val="0"/>
                <w:sz w:val="16"/>
              </w:rPr>
              <w:t>General PICU minimum guidance is not oncology-specific; no universal 2–3 g/kg/day target.</w:t>
            </w:r>
          </w:p>
        </w:tc>
        <w:tc>
          <w:tcPr>
            <w:tcW w:type="dxa" w:w="1655"/>
            <w:vAlign w:val="top"/>
          </w:tcPr>
          <w:p>
            <w:pPr>
              <w:spacing w:line="240" w:lineRule="auto" w:after="0"/>
              <w:ind w:firstLine="0"/>
              <w:jc w:val="left"/>
            </w:pPr>
            <w:r>
              <w:rPr>
                <w:rFonts w:ascii="Times New Roman" w:hAnsi="Times New Roman"/>
                <w:b w:val="0"/>
                <w:i w:val="0"/>
                <w:sz w:val="16"/>
              </w:rPr>
              <w:t>Tier 2</w:t>
            </w:r>
          </w:p>
        </w:tc>
        <w:tc>
          <w:tcPr>
            <w:tcW w:type="dxa" w:w="1800"/>
            <w:vAlign w:val="top"/>
          </w:tcPr>
          <w:p>
            <w:pPr>
              <w:spacing w:line="240" w:lineRule="auto" w:after="0"/>
              <w:ind w:firstLine="0"/>
              <w:jc w:val="left"/>
            </w:pPr>
            <w:r>
              <w:rPr>
                <w:rFonts w:ascii="Times New Roman" w:hAnsi="Times New Roman"/>
                <w:b w:val="0"/>
                <w:i w:val="0"/>
                <w:sz w:val="16"/>
              </w:rPr>
              <w:t>SCCM/ASPEN; muscle review</w:t>
            </w:r>
          </w:p>
        </w:tc>
      </w:tr>
      <w:tr>
        <w:trPr>
          <w:cantSplit/>
        </w:trPr>
        <w:tc>
          <w:tcPr>
            <w:tcW w:type="dxa" w:w="1944"/>
            <w:shd w:fill="F6F8FA"/>
            <w:vAlign w:val="top"/>
          </w:tcPr>
          <w:p>
            <w:pPr>
              <w:spacing w:line="240" w:lineRule="auto" w:after="0"/>
              <w:ind w:firstLine="0"/>
              <w:jc w:val="left"/>
            </w:pPr>
            <w:r>
              <w:rPr>
                <w:rFonts w:ascii="Times New Roman" w:hAnsi="Times New Roman"/>
                <w:b w:val="0"/>
                <w:i w:val="0"/>
                <w:sz w:val="16"/>
              </w:rPr>
              <w:t>CAR/PhA</w:t>
            </w:r>
          </w:p>
        </w:tc>
        <w:tc>
          <w:tcPr>
            <w:tcW w:type="dxa" w:w="4536"/>
            <w:shd w:fill="F6F8FA"/>
            <w:vAlign w:val="top"/>
          </w:tcPr>
          <w:p>
            <w:pPr>
              <w:spacing w:line="240" w:lineRule="auto" w:after="0"/>
              <w:ind w:firstLine="0"/>
              <w:jc w:val="left"/>
            </w:pPr>
            <w:r>
              <w:rPr>
                <w:rFonts w:ascii="Times New Roman" w:hAnsi="Times New Roman"/>
                <w:b w:val="0"/>
                <w:i w:val="0"/>
                <w:sz w:val="16"/>
              </w:rPr>
              <w:t>Prognostic or risk markers, not feeding-response measures.</w:t>
            </w:r>
          </w:p>
        </w:tc>
        <w:tc>
          <w:tcPr>
            <w:tcW w:type="dxa" w:w="1655"/>
            <w:shd w:fill="F6F8FA"/>
            <w:vAlign w:val="top"/>
          </w:tcPr>
          <w:p>
            <w:pPr>
              <w:spacing w:line="240" w:lineRule="auto" w:after="0"/>
              <w:ind w:firstLine="0"/>
              <w:jc w:val="left"/>
            </w:pPr>
            <w:r>
              <w:rPr>
                <w:rFonts w:ascii="Times New Roman" w:hAnsi="Times New Roman"/>
                <w:b w:val="0"/>
                <w:i w:val="0"/>
                <w:sz w:val="16"/>
              </w:rPr>
              <w:t>Tier 2</w:t>
            </w:r>
          </w:p>
        </w:tc>
        <w:tc>
          <w:tcPr>
            <w:tcW w:type="dxa" w:w="1800"/>
            <w:shd w:fill="F6F8FA"/>
            <w:vAlign w:val="top"/>
          </w:tcPr>
          <w:p>
            <w:pPr>
              <w:spacing w:line="240" w:lineRule="auto" w:after="0"/>
              <w:ind w:firstLine="0"/>
              <w:jc w:val="left"/>
            </w:pPr>
            <w:r>
              <w:rPr>
                <w:rFonts w:ascii="Times New Roman" w:hAnsi="Times New Roman"/>
                <w:b w:val="0"/>
                <w:i w:val="0"/>
                <w:sz w:val="16"/>
              </w:rPr>
              <w:t>General PICU cohorts</w:t>
            </w:r>
          </w:p>
        </w:tc>
      </w:tr>
      <w:tr>
        <w:trPr>
          <w:cantSplit/>
        </w:trPr>
        <w:tc>
          <w:tcPr>
            <w:tcW w:type="dxa" w:w="1944"/>
            <w:vAlign w:val="top"/>
          </w:tcPr>
          <w:p>
            <w:pPr>
              <w:spacing w:line="240" w:lineRule="auto" w:after="0"/>
              <w:ind w:firstLine="0"/>
              <w:jc w:val="left"/>
            </w:pPr>
            <w:r>
              <w:rPr>
                <w:rFonts w:ascii="Times New Roman" w:hAnsi="Times New Roman"/>
                <w:b w:val="0"/>
                <w:i w:val="0"/>
                <w:sz w:val="16"/>
              </w:rPr>
              <w:t>Muscle ultrasound</w:t>
            </w:r>
          </w:p>
        </w:tc>
        <w:tc>
          <w:tcPr>
            <w:tcW w:type="dxa" w:w="4536"/>
            <w:vAlign w:val="top"/>
          </w:tcPr>
          <w:p>
            <w:pPr>
              <w:spacing w:line="240" w:lineRule="auto" w:after="0"/>
              <w:ind w:firstLine="0"/>
              <w:jc w:val="left"/>
            </w:pPr>
            <w:r>
              <w:rPr>
                <w:rFonts w:ascii="Times New Roman" w:hAnsi="Times New Roman"/>
                <w:b w:val="0"/>
                <w:i w:val="0"/>
                <w:sz w:val="16"/>
              </w:rPr>
              <w:t>Documents trajectory; does not determine a protein dose.</w:t>
            </w:r>
          </w:p>
        </w:tc>
        <w:tc>
          <w:tcPr>
            <w:tcW w:type="dxa" w:w="1655"/>
            <w:vAlign w:val="top"/>
          </w:tcPr>
          <w:p>
            <w:pPr>
              <w:spacing w:line="240" w:lineRule="auto" w:after="0"/>
              <w:ind w:firstLine="0"/>
              <w:jc w:val="left"/>
            </w:pPr>
            <w:r>
              <w:rPr>
                <w:rFonts w:ascii="Times New Roman" w:hAnsi="Times New Roman"/>
                <w:b w:val="0"/>
                <w:i w:val="0"/>
                <w:sz w:val="16"/>
              </w:rPr>
              <w:t>Tier 2</w:t>
            </w:r>
          </w:p>
        </w:tc>
        <w:tc>
          <w:tcPr>
            <w:tcW w:type="dxa" w:w="1800"/>
            <w:vAlign w:val="top"/>
          </w:tcPr>
          <w:p>
            <w:pPr>
              <w:spacing w:line="240" w:lineRule="auto" w:after="0"/>
              <w:ind w:firstLine="0"/>
              <w:jc w:val="left"/>
            </w:pPr>
            <w:r>
              <w:rPr>
                <w:rFonts w:ascii="Times New Roman" w:hAnsi="Times New Roman"/>
                <w:b w:val="0"/>
                <w:i w:val="0"/>
                <w:sz w:val="16"/>
              </w:rPr>
              <w:t>General PICU cohorts/review</w:t>
            </w:r>
          </w:p>
        </w:tc>
      </w:tr>
      <w:tr>
        <w:trPr>
          <w:cantSplit/>
        </w:trPr>
        <w:tc>
          <w:tcPr>
            <w:tcW w:type="dxa" w:w="1944"/>
            <w:shd w:fill="F6F8FA"/>
            <w:vAlign w:val="top"/>
          </w:tcPr>
          <w:p>
            <w:pPr>
              <w:spacing w:line="240" w:lineRule="auto" w:after="0"/>
              <w:ind w:firstLine="0"/>
              <w:jc w:val="left"/>
            </w:pPr>
            <w:r>
              <w:rPr>
                <w:rFonts w:ascii="Times New Roman" w:hAnsi="Times New Roman"/>
                <w:b w:val="0"/>
                <w:i w:val="0"/>
                <w:sz w:val="16"/>
              </w:rPr>
              <w:t>GI-GVHD</w:t>
            </w:r>
          </w:p>
        </w:tc>
        <w:tc>
          <w:tcPr>
            <w:tcW w:type="dxa" w:w="4536"/>
            <w:shd w:fill="F6F8FA"/>
            <w:vAlign w:val="top"/>
          </w:tcPr>
          <w:p>
            <w:pPr>
              <w:spacing w:line="240" w:lineRule="auto" w:after="0"/>
              <w:ind w:firstLine="0"/>
              <w:jc w:val="left"/>
            </w:pPr>
            <w:r>
              <w:rPr>
                <w:rFonts w:ascii="Times New Roman" w:hAnsi="Times New Roman"/>
                <w:b w:val="0"/>
                <w:i w:val="0"/>
                <w:sz w:val="16"/>
              </w:rPr>
              <w:t>Use weight-contextualized stool output and clinical absorption; no absolute 500 mL/day cutoff.</w:t>
            </w:r>
          </w:p>
        </w:tc>
        <w:tc>
          <w:tcPr>
            <w:tcW w:type="dxa" w:w="1655"/>
            <w:shd w:fill="F6F8FA"/>
            <w:vAlign w:val="top"/>
          </w:tcPr>
          <w:p>
            <w:pPr>
              <w:spacing w:line="240" w:lineRule="auto" w:after="0"/>
              <w:ind w:firstLine="0"/>
              <w:jc w:val="left"/>
            </w:pPr>
            <w:r>
              <w:rPr>
                <w:rFonts w:ascii="Times New Roman" w:hAnsi="Times New Roman"/>
                <w:b w:val="0"/>
                <w:i w:val="0"/>
                <w:sz w:val="16"/>
              </w:rPr>
              <w:t>Tier 3/4</w:t>
            </w:r>
          </w:p>
        </w:tc>
        <w:tc>
          <w:tcPr>
            <w:tcW w:type="dxa" w:w="1800"/>
            <w:shd w:fill="F6F8FA"/>
            <w:vAlign w:val="top"/>
          </w:tcPr>
          <w:p>
            <w:pPr>
              <w:spacing w:line="240" w:lineRule="auto" w:after="0"/>
              <w:ind w:firstLine="0"/>
              <w:jc w:val="left"/>
            </w:pPr>
            <w:r>
              <w:rPr>
                <w:rFonts w:ascii="Times New Roman" w:hAnsi="Times New Roman"/>
                <w:b w:val="0"/>
                <w:i w:val="0"/>
                <w:sz w:val="16"/>
              </w:rPr>
              <w:t>ESPGHAN; adult review</w:t>
            </w:r>
          </w:p>
        </w:tc>
      </w:tr>
      <w:tr>
        <w:trPr>
          <w:cantSplit/>
        </w:trPr>
        <w:tc>
          <w:tcPr>
            <w:tcW w:type="dxa" w:w="1944"/>
            <w:vAlign w:val="top"/>
          </w:tcPr>
          <w:p>
            <w:pPr>
              <w:spacing w:line="240" w:lineRule="auto" w:after="0"/>
              <w:ind w:firstLine="0"/>
              <w:jc w:val="left"/>
            </w:pPr>
            <w:r>
              <w:rPr>
                <w:rFonts w:ascii="Times New Roman" w:hAnsi="Times New Roman"/>
                <w:b w:val="0"/>
                <w:i w:val="0"/>
                <w:sz w:val="16"/>
              </w:rPr>
              <w:t>TLS</w:t>
            </w:r>
          </w:p>
        </w:tc>
        <w:tc>
          <w:tcPr>
            <w:tcW w:type="dxa" w:w="4536"/>
            <w:vAlign w:val="top"/>
          </w:tcPr>
          <w:p>
            <w:pPr>
              <w:spacing w:line="240" w:lineRule="auto" w:after="0"/>
              <w:ind w:firstLine="0"/>
              <w:jc w:val="left"/>
            </w:pPr>
            <w:r>
              <w:rPr>
                <w:rFonts w:ascii="Times New Roman" w:hAnsi="Times New Roman"/>
                <w:b w:val="0"/>
                <w:i w:val="0"/>
                <w:sz w:val="16"/>
              </w:rPr>
              <w:t>No validated TLS-specific feeding regimen; do not prescribe routine fasting or low-phosphate formula.</w:t>
            </w:r>
          </w:p>
        </w:tc>
        <w:tc>
          <w:tcPr>
            <w:tcW w:type="dxa" w:w="1655"/>
            <w:vAlign w:val="top"/>
          </w:tcPr>
          <w:p>
            <w:pPr>
              <w:spacing w:line="240" w:lineRule="auto" w:after="0"/>
              <w:ind w:firstLine="0"/>
              <w:jc w:val="left"/>
            </w:pPr>
            <w:r>
              <w:rPr>
                <w:rFonts w:ascii="Times New Roman" w:hAnsi="Times New Roman"/>
                <w:b w:val="0"/>
                <w:i w:val="0"/>
                <w:sz w:val="16"/>
              </w:rPr>
              <w:t>Tier 4/5</w:t>
            </w:r>
          </w:p>
        </w:tc>
        <w:tc>
          <w:tcPr>
            <w:tcW w:type="dxa" w:w="1800"/>
            <w:vAlign w:val="top"/>
          </w:tcPr>
          <w:p>
            <w:pPr>
              <w:spacing w:line="240" w:lineRule="auto" w:after="0"/>
              <w:ind w:firstLine="0"/>
              <w:jc w:val="left"/>
            </w:pPr>
            <w:r>
              <w:rPr>
                <w:rFonts w:ascii="Times New Roman" w:hAnsi="Times New Roman"/>
                <w:b w:val="0"/>
                <w:i w:val="0"/>
                <w:sz w:val="16"/>
              </w:rPr>
              <w:t>Disease-primer/expert evidence</w:t>
            </w:r>
          </w:p>
        </w:tc>
      </w:tr>
      <w:tr>
        <w:trPr>
          <w:cantSplit/>
        </w:trPr>
        <w:tc>
          <w:tcPr>
            <w:tcW w:type="dxa" w:w="1944"/>
            <w:shd w:fill="F6F8FA"/>
            <w:vAlign w:val="top"/>
          </w:tcPr>
          <w:p>
            <w:pPr>
              <w:spacing w:line="240" w:lineRule="auto" w:after="0"/>
              <w:ind w:firstLine="0"/>
              <w:jc w:val="left"/>
            </w:pPr>
            <w:r>
              <w:rPr>
                <w:rFonts w:ascii="Times New Roman" w:hAnsi="Times New Roman"/>
                <w:b w:val="0"/>
                <w:i w:val="0"/>
                <w:sz w:val="16"/>
              </w:rPr>
              <w:t>ECMO/CRRT</w:t>
            </w:r>
          </w:p>
        </w:tc>
        <w:tc>
          <w:tcPr>
            <w:tcW w:type="dxa" w:w="4536"/>
            <w:shd w:fill="F6F8FA"/>
            <w:vAlign w:val="top"/>
          </w:tcPr>
          <w:p>
            <w:pPr>
              <w:spacing w:line="240" w:lineRule="auto" w:after="0"/>
              <w:ind w:firstLine="0"/>
              <w:jc w:val="left"/>
            </w:pPr>
            <w:r>
              <w:rPr>
                <w:rFonts w:ascii="Times New Roman" w:hAnsi="Times New Roman"/>
                <w:b w:val="0"/>
                <w:i w:val="0"/>
                <w:sz w:val="16"/>
              </w:rPr>
              <w:t>Discuss separately; heparin has no calories; CRRT losses require individualized replacement.</w:t>
            </w:r>
          </w:p>
        </w:tc>
        <w:tc>
          <w:tcPr>
            <w:tcW w:type="dxa" w:w="1655"/>
            <w:shd w:fill="F6F8FA"/>
            <w:vAlign w:val="top"/>
          </w:tcPr>
          <w:p>
            <w:pPr>
              <w:spacing w:line="240" w:lineRule="auto" w:after="0"/>
              <w:ind w:firstLine="0"/>
              <w:jc w:val="left"/>
            </w:pPr>
            <w:r>
              <w:rPr>
                <w:rFonts w:ascii="Times New Roman" w:hAnsi="Times New Roman"/>
                <w:b w:val="0"/>
                <w:i w:val="0"/>
                <w:sz w:val="16"/>
              </w:rPr>
              <w:t>Tier 2</w:t>
            </w:r>
          </w:p>
        </w:tc>
        <w:tc>
          <w:tcPr>
            <w:tcW w:type="dxa" w:w="1800"/>
            <w:shd w:fill="F6F8FA"/>
            <w:vAlign w:val="top"/>
          </w:tcPr>
          <w:p>
            <w:pPr>
              <w:spacing w:line="240" w:lineRule="auto" w:after="0"/>
              <w:ind w:firstLine="0"/>
              <w:jc w:val="left"/>
            </w:pPr>
            <w:r>
              <w:rPr>
                <w:rFonts w:ascii="Times New Roman" w:hAnsi="Times New Roman"/>
                <w:b w:val="0"/>
                <w:i w:val="0"/>
                <w:sz w:val="16"/>
              </w:rPr>
              <w:t>ELSO; PRNT</w:t>
            </w:r>
          </w:p>
        </w:tc>
      </w:tr>
    </w:tbl>
    <w:sectPr w:rsidR="00FC693F" w:rsidRPr="0006063C" w:rsidSect="00034616">
      <w:headerReference w:type="default" r:id="rId9"/>
      <w:footerReference w:type="default" r:id="rId10"/>
      <w:pgSz w:w="12240" w:h="15840"/>
      <w:pgMar w:top="1080" w:right="1368" w:bottom="1008" w:left="1368"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color w:val="5C6976"/>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Times New Roman" w:hAnsi="Times New Roman"/>
        <w:i/>
        <w:color w:val="5C6976"/>
        <w:sz w:val="18"/>
      </w:rPr>
      <w:t>Cancer Plus | Major Revision | Manuscript CP026270042</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line="360" w:lineRule="auto" w:after="120"/>
      <w:ind w:firstLine="360"/>
      <w:jc w:val="both"/>
    </w:pPr>
    <w:rPr>
      <w:rFonts w:ascii="Times New Roman" w:hAnsi="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jc w:val="left"/>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180" w:after="80"/>
      <w:jc w:val="left"/>
      <w:outlineLvl w:val="1"/>
    </w:pPr>
    <w:rPr>
      <w:rFonts w:asciiTheme="majorHAnsi" w:eastAsiaTheme="majorEastAsia" w:hAnsiTheme="majorHAnsi" w:cstheme="majorBidi" w:ascii="Times New Roman" w:hAnsi="Times New Roman"/>
      <w:b/>
      <w:bCs/>
      <w:color w:val="00000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jc w:val="center"/>
    </w:pPr>
    <w:rPr>
      <w:rFonts w:asciiTheme="majorHAnsi" w:eastAsiaTheme="majorEastAsia" w:hAnsiTheme="majorHAnsi" w:cstheme="majorBidi" w:ascii="Times New Roman" w:hAnsi="Times New Roman"/>
      <w:b/>
      <w:color w:val="000000"/>
      <w:spacing w:val="5"/>
      <w:kern w:val="28"/>
      <w:sz w:val="3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igureCaption">
    <w:name w:val="Figure Caption"/>
    <w:pPr>
      <w:keepNext w:val="0"/>
      <w:spacing w:line="240" w:lineRule="auto" w:before="80" w:after="200"/>
      <w:jc w:val="both"/>
    </w:pPr>
    <w:rPr>
      <w:rFonts w:ascii="Times New Roman" w:hAnsi="Times New Roman"/>
      <w:sz w:val="20"/>
    </w:rPr>
  </w:style>
  <w:style w:type="paragraph" w:customStyle="1" w:styleId="Reference">
    <w:name w:val="Reference"/>
    <w:pPr>
      <w:spacing w:line="240" w:lineRule="auto" w:after="60"/>
      <w:ind w:hanging="360" w:left="360"/>
      <w:jc w:val="left"/>
    </w:pPr>
    <w:rPr>
      <w:rFonts w:ascii="Times New Roman" w:hAnsi="Times New Roman"/>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